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VII - RELATÓRIO DA EXECUÇÃO FÍSICO-FINANCEIRA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49 E 50 IN/CGM de 26/04/2023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99"/>
        <w:gridCol w:w="900"/>
        <w:gridCol w:w="899"/>
        <w:gridCol w:w="902"/>
        <w:gridCol w:w="901"/>
        <w:gridCol w:w="899"/>
        <w:gridCol w:w="900"/>
        <w:gridCol w:w="899"/>
        <w:gridCol w:w="1035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ETAPA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FASE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NO PERÍODO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OUTORGADO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 xml:space="preserve">OUTORGADO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</w:tr>
      <w:tr>
        <w:trPr/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de   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97</Words>
  <Characters>565</Characters>
  <CharactersWithSpaces>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2023-11-21T16:12:54Z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