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15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II - PATRIMÔNIO IMATERIAL – CULTURA POPULAR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Todos os projetos inscritos na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II - Patrimônio Imaterial – Cultura Popular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serão avaliados pela Comissão de Avaliação e Seleção, considerando os critérios abaixo:</w:t>
      </w:r>
    </w:p>
    <w:p w:rsidR="00000000" w:rsidDel="00000000" w:rsidP="00000000" w:rsidRDefault="00000000" w:rsidRPr="00000000" w14:paraId="00000009">
      <w:pPr>
        <w:jc w:val="both"/>
        <w:rPr>
          <w:rFonts w:ascii="Nunito" w:cs="Nunito" w:eastAsia="Nunito" w:hAnsi="Nunito"/>
          <w:b w:val="1"/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0.000000000001"/>
        <w:gridCol w:w="859.9999999999998"/>
        <w:gridCol w:w="1200"/>
        <w:gridCol w:w="1080"/>
        <w:tblGridChange w:id="0">
          <w:tblGrid>
            <w:gridCol w:w="5800.000000000001"/>
            <w:gridCol w:w="859.9999999999998"/>
            <w:gridCol w:w="1200"/>
            <w:gridCol w:w="1080"/>
          </w:tblGrid>
        </w:tblGridChange>
      </w:tblGrid>
      <w:tr>
        <w:trPr>
          <w:cantSplit w:val="0"/>
          <w:trHeight w:val="737.1093749999818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CATEGORIA II - PATRIMÔNIO IMATERIAL – CULTURA POPULAR</w:t>
            </w:r>
          </w:p>
        </w:tc>
      </w:tr>
      <w:tr>
        <w:trPr>
          <w:cantSplit w:val="0"/>
          <w:trHeight w:val="737.1093749999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Critérios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Peso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Pontuação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A) Proposta apresenta, de maneira objetiva, a pertinência e a relevância do projeto como resposta a um problema ou necessidade identificada, assinalando os resultados esperados.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B) Exequibilidade do plano de trabalho demonstrada a partir da consistência dos objetivos e metas, em conformidade com a adequação orçamentária e a capacidade de realização do projeto (compatibilidade entre metodologia, atividades e prazos de execução). Apresentação objetiva do que se pretende alcançar com o projeto, assinalando os objetivos gerais e específicos, de maneira que possam ser desdobrados em metas e etapas no Plano de Ação.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C) Capacidade técnica de execução da proposta, tendo como base o histórico de atuação comprovada do(a) agente cultural na categoria escolhida, com base nas informações e  documentos enviados (declarações, fotos, vídeos, textos, redes sociais, recortes de jornais, certificados, declarações de convênios, projetos ou parcerias, termos de conveniamento, diário oficial, cards promocionais).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</w:tr>
      <w:tr>
        <w:trPr>
          <w:cantSplit w:val="0"/>
          <w:trHeight w:val="478.0000000000046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D) Impacto positivo para o agente cultural proponente (aperfeiçoamento dos agentes atuantes, seja da ficha técnica, por meio de ampliação de programação, ou difusão de pesquisas e produtos oferecidos ao público). Em conformidade com a identificação do público a ser atingido.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E) Impacto para a salvaguarda e difusão das formas de expressão, celebrações, lugares, pessoas naturais, grupos e coletividades, que sejam reconhecidas em qualquer esfera (municipal, estadual, federal), em conformidade com a adesão do agente cultural e parcerias propostas e abrangência das ações a serem executadas.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F) Relevância da proposta para o cenário do Patrimônio Imaterial do Estado  – contribuição e valorização do campo no território/região, bem como divulgação do conhecimento das tipologias, categorias dos bens imateriais, pessoas naturais, grupos e coletividades do Ceará.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G) Impacto social e cultural positivo da proposta na preservação e salvaguarda dos bens patrimonializados, em processo de patrimonialização, identificados/inventariados ou em vias de identificação/inventariação, contribuindo para valorização dos conjuntos de bens pessoas naturais, grupos e coletividades e dos processos de educação patrimonial.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H) Potencial de desdobramento, replicação ou continuidade do projeto, considerando a perspectiva de qualificação a partir da execução desta edição se fomentada.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Serão desclassificados os projetos apresentados que não possuem vinculação aos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objetivos estabelecidos neste edital.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Serão desclassificados os projetos que não obtiverem a pontuação equivalente a 50% (cinquenta por cento) do total de pontuação da soma dos critérios e os pontos de bonificação (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se houver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Os projetos serão classificados por ordem decrescente de pontuação, conforme a categoria para a qual solicitaram inscrição. Havendo empate de pontuação entre os projetos classificados, a Comissão de Avaliação e Seleção promoverá o desempate com prioridade para o projeto que obtiver maior pontuação no subitem “a”. Caso persista o empate, será considerada a maior pontuação dos subitens “b”, “c”, “d” e “e” e assim sucessivamente.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360" w:lineRule="auto"/>
        <w:ind w:left="144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ainda persistir o empate, será considerado o projeto onde o Agente Cultural possui maior idade.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A Comissão de Avaliação e Seleção é investida de autonomia quanto às suas avaliações e poderá recomendar revisão, redução ou eliminação de despesas apresentadas no Plano de Açã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(Anexo 9 do edital)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que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sejam consideradas incompatíveis com os preços conhecidos no mercado local ou com a finalidade do projeto a ser realizado.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Os projetos que apresentem quaisquer formas de preconceito de origem, raça, etnia, gênero, cor, idade ou outras formas de discriminação serão desclassificados, com fundamento no disposto no inciso IV do art. 3 da Constituição Federal, garantidos o contraditório e a ampla defesa.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