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160" w:line="259" w:lineRule="auto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3º EDITAL PRÊMIO CIDADANIA E DIVERSIDADE</w:t>
            </w:r>
          </w:p>
          <w:p w:rsidR="00000000" w:rsidDel="00000000" w:rsidP="00000000" w:rsidRDefault="00000000" w:rsidRPr="00000000" w14:paraId="00000003">
            <w:pPr>
              <w:spacing w:after="160" w:line="259" w:lineRule="auto"/>
              <w:jc w:val="center"/>
              <w:rPr>
                <w:rFonts w:ascii="Nunito" w:cs="Nunito" w:eastAsia="Nunito" w:hAnsi="Nunito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2 -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) ANÁLISE DA PROPOSTA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widowControl w:val="0"/>
        <w:spacing w:after="200" w:line="276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276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276" w:lineRule="auto"/>
      <w:ind w:lef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5940750" cy="838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JHUoAu8zORgdN0U8drtkxmtiw==">CgMxLjA4AHIhMWFERWdHNnJrc0JrcWMxdGtZZmIzRmRvUUdibldqMHNi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