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11  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ÁREA DE ATUAÇÃO,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CRITÉRIOS E METODOLOGIA DE AVALIAÇÃO E SELEÇÃO DE PROJETO REFERENTE A CATEGORIA: BIBLIOTECAS COMUNITÁRIAS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6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020"/>
        </w:tabs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1.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1.1. A categoria Bibliotecas comunitárias vai selecionar bibliotecas cadastradas no Sistema Estadual de Bibliotecas Públicas do Ceará (SEBP-CE) e prioritariamente localizadas em zonas de vulnerabilidade social em todo o estado do Ceará.</w:t>
      </w:r>
    </w:p>
    <w:p w:rsidR="00000000" w:rsidDel="00000000" w:rsidP="00000000" w:rsidRDefault="00000000" w:rsidRPr="00000000" w14:paraId="0000000B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1.2. O que são bibliotecas comunitárias?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99"/>
        </w:tabs>
        <w:spacing w:line="276" w:lineRule="auto"/>
        <w:ind w:left="70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99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1.1.1. As Bibliotecas Comunitárias são espaços físicos que surgem da iniciativa popular e são mantidos pela comunidade civil, sem a intervenção do poder público. Marcadas por uma forte relação com a comunidade na qual estão inseridas, as Bibliotecas Comunitárias exercem importante papel social, ao se configurarem como um espaço de educação e cultura que possibilita a formação de pessoas leitoras e cidadãos críticos de sua realidade. É também um lugar de sociabilidades e construção de afetos que atuam como uma maneira de afastar a população que dela usufrui das diversas situações de violência e vulnerabilidade social. Suas ações se voltam principalmente para o incentivo ao livro, à leitura, à literatura e à informação. As Bibliotecas Comunitárias são sobretudo um espaço de criação, principalmente no que tange a escrita, ações culturais e mediação cultural, podendo realizar outras práticas artísticas e culturais de democratização do direito à cultura. Dessa forma, as Bibliotecas Comunitárias são um centro de cultura fundamental para suscitar o desejo pela leitura, o aperfeiçoamento da maneira correta de ler um texto e sua relação com realidade comunitária.</w:t>
      </w:r>
    </w:p>
    <w:p w:rsidR="00000000" w:rsidDel="00000000" w:rsidP="00000000" w:rsidRDefault="00000000" w:rsidRPr="00000000" w14:paraId="0000000F">
      <w:pPr>
        <w:tabs>
          <w:tab w:val="left" w:leader="none" w:pos="699"/>
        </w:tabs>
        <w:spacing w:line="276" w:lineRule="auto"/>
        <w:ind w:left="70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2. CONDIÇÃO DE PARTICIPAÇÃO DO PROJETO:</w:t>
      </w:r>
    </w:p>
    <w:p w:rsidR="00000000" w:rsidDel="00000000" w:rsidP="00000000" w:rsidRDefault="00000000" w:rsidRPr="00000000" w14:paraId="00000011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2.1.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cadastro da biblioteca no Sistema Estadual de Bibliotecas Públicas do Ceará (SEBP/CE) é obrigatório para a Categoria!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Se a biblioteca ainda não estiver cadastrada no SEBP/CE, o cadastro poderá ser feito utilizando o “Formulário de Cadastro Estadual de Bibliotecas”, no seguinte link: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hyperlink r:id="rId6">
        <w:r w:rsidDel="00000000" w:rsidR="00000000" w:rsidRPr="00000000">
          <w:rPr>
            <w:rFonts w:ascii="Nunito" w:cs="Nunito" w:eastAsia="Nunito" w:hAnsi="Nunito"/>
            <w:b w:val="1"/>
            <w:color w:val="1155cc"/>
            <w:u w:val="single"/>
            <w:rtl w:val="0"/>
          </w:rPr>
          <w:t xml:space="preserve">CADASTRO ESTADUAL DE BIBLIOTECAS</w:t>
        </w:r>
      </w:hyperlink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As bibliotecas já cadastradas não precisarão preencher o formulário novamente.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2.2. Comprovar a existência de espaço físico da biblioteca comunitária, por meio de fotos e/ou links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de vídeos na ficha de inscrição;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2.3. Comprovar, por meio do portfólio (em formato PDF), a atuação da biblioteca por  pelo menos, 02 (dois) anos consecutivos,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conforme exigência na ficha de inscrição do Mapa Cultural. </w:t>
      </w:r>
    </w:p>
    <w:p w:rsidR="00000000" w:rsidDel="00000000" w:rsidP="00000000" w:rsidRDefault="00000000" w:rsidRPr="00000000" w14:paraId="00000017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020"/>
        </w:tabs>
        <w:spacing w:line="276" w:lineRule="auto"/>
        <w:ind w:left="0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2.4. Caso a proposta seja de apenas uma única pessoa proponente, o mesmo deverá apresentar Carta de Responsabilidade e Anuência do Grupo Gestor da Biblioteca conforme modelo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(Anexo 19),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sendo que cada biblioteca só poderá emitir carta de anuência para inscrição de 01 (uma) única proposta. Caso a proposta seja de um coletivo, o proponente deverá apresentar 02 (duas) cartas de anuência, sendo: Carta de Responsabilidade e Anuência do Grupo Gestor da Biblioteca (Anexo 19) e a Carta de Responsabilidade e Anuência do Grupo/Coletivo, conforme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(Anexo 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20"/>
        </w:tabs>
        <w:spacing w:line="276" w:lineRule="auto"/>
        <w:ind w:left="708.6614173228347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3. QUEM PODE SE INSCREVER</w:t>
      </w:r>
    </w:p>
    <w:p w:rsidR="00000000" w:rsidDel="00000000" w:rsidP="00000000" w:rsidRDefault="00000000" w:rsidRPr="00000000" w14:paraId="0000001B">
      <w:pPr>
        <w:keepNext w:val="1"/>
        <w:keepLines w:val="1"/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3.1. Poderão se inscrever no presente Edital o seguinte perfil de agente cultural - PESSOA FÍSICA: </w:t>
      </w:r>
    </w:p>
    <w:p w:rsidR="00000000" w:rsidDel="00000000" w:rsidP="00000000" w:rsidRDefault="00000000" w:rsidRPr="00000000" w14:paraId="0000001D">
      <w:pPr>
        <w:keepNext w:val="1"/>
        <w:keepLines w:val="1"/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3.1.1.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Maiores de 18 anos.</w:t>
      </w:r>
    </w:p>
    <w:p w:rsidR="00000000" w:rsidDel="00000000" w:rsidP="00000000" w:rsidRDefault="00000000" w:rsidRPr="00000000" w14:paraId="0000001F">
      <w:pPr>
        <w:keepNext w:val="1"/>
        <w:keepLines w:val="1"/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3.1.2. Com domicílio no Estado do Ceará há pelo menos 2 (dois) anos contados do período de inscrição, a ser inserido o comprovante no ato da inscrição.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3.1.3 Com atuação comprovada por meio de portfólio/clipping na área cultural  da categoria inscrita há pelo menos 2 (dois) anos, na execução de iniciativas culturais similares ou correlatas.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3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.2 Não será possível substituir os (as/es) agentes culturais em nenhuma hipótese.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3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.3 Não será exigido comprovante de residência se o (a/e) agente cultural for uma pessoa nômade (agente itinerante) ou em situação de rua, a qual deverá ser declarada sob as penas da Lei. 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76" w:lineRule="auto"/>
        <w:ind w:left="0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3.4. O (a/e) agente cultural que integrar o Conselho Estadual de Política  Cultura do Estado do Ceará - CEPC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poderá concorrer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neste Edital para receber recursos do fomento cultural, exceto quando se enquadrar nas vedações do item 7 deste edital.</w:t>
      </w:r>
    </w:p>
    <w:p w:rsidR="00000000" w:rsidDel="00000000" w:rsidP="00000000" w:rsidRDefault="00000000" w:rsidRPr="00000000" w14:paraId="00000029">
      <w:pPr>
        <w:spacing w:before="82" w:line="276" w:lineRule="auto"/>
        <w:ind w:left="301" w:right="513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left="0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4. QUEM NÃO PODE PARTICIPAR</w:t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0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4.1. Os critérios para a não participação constam no Item 7 do Edital.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82" w:line="276" w:lineRule="auto"/>
        <w:ind w:left="0" w:right="513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5.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ÁREAS DE ATUAÇÃO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2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87"/>
        </w:tabs>
        <w:spacing w:line="276" w:lineRule="auto"/>
        <w:ind w:left="0" w:right="51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5.1.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O(a/e) Agente Cultural poderá apresentar apenas 01 (um) projeto a partir das áreas descritas a seguir, podendo estabelecer inter-relação entre mais de uma das áreas, desde que faça sentido.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Os projetos deverão contemplar as seguintes áreas de interesse:</w:t>
      </w:r>
    </w:p>
    <w:p w:rsidR="00000000" w:rsidDel="00000000" w:rsidP="00000000" w:rsidRDefault="00000000" w:rsidRPr="00000000" w14:paraId="00000031">
      <w:pPr>
        <w:spacing w:before="4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6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5.2. ARTICULAÇÃO E DESENVOLVIMENTO DE REDES:</w:t>
      </w:r>
    </w:p>
    <w:p w:rsidR="00000000" w:rsidDel="00000000" w:rsidP="00000000" w:rsidRDefault="00000000" w:rsidRPr="00000000" w14:paraId="00000033">
      <w:pPr>
        <w:spacing w:before="40" w:line="276" w:lineRule="auto"/>
        <w:ind w:left="301" w:right="51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Ações em rede que visem a conexão e a cooperação entre bibliotecas, por meio de plano de desenvolvimento e fortalecimento de atividades e serviços para o benefício comum, mantendo a autonomia administrativa de cada biblioteca.</w:t>
      </w:r>
    </w:p>
    <w:p w:rsidR="00000000" w:rsidDel="00000000" w:rsidP="00000000" w:rsidRDefault="00000000" w:rsidRPr="00000000" w14:paraId="00000034">
      <w:pPr>
        <w:spacing w:before="4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6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5.3. ARTICULAÇÃO E VISIBILIDADE:</w:t>
      </w:r>
    </w:p>
    <w:p w:rsidR="00000000" w:rsidDel="00000000" w:rsidP="00000000" w:rsidRDefault="00000000" w:rsidRPr="00000000" w14:paraId="00000036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5.3.1. Comunicação: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tabs>
          <w:tab w:val="left" w:leader="none" w:pos="1021"/>
        </w:tabs>
        <w:spacing w:line="276" w:lineRule="auto"/>
        <w:ind w:left="720" w:right="512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Projeto para democratizar o acesso à informação e à comunicação popular no território de atuação da biblioteca com protagonismo do público infantil e juvenil, considerando temas de relevância para a comunidade.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tabs>
          <w:tab w:val="left" w:leader="none" w:pos="1021"/>
        </w:tabs>
        <w:spacing w:line="276" w:lineRule="auto"/>
        <w:ind w:left="720" w:right="512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Projetos que promovam a reflexão crítica sobre comunicação, em sua dimensão ética, estética e técnica, considerando as novas mídias e tecnologias como meios para discutir pautas de representatividade e informações de interesse público.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tabs>
          <w:tab w:val="left" w:leader="none" w:pos="1021"/>
        </w:tabs>
        <w:spacing w:line="276" w:lineRule="auto"/>
        <w:ind w:left="720" w:right="512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proposta de projeto deve ser gerida por núcleos de gestão da biblioteca com a orientação de profissionais da área, por meio de cursos, oficinas, assessorias e mentorias.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tabs>
          <w:tab w:val="left" w:leader="none" w:pos="1021"/>
        </w:tabs>
        <w:spacing w:line="276" w:lineRule="auto"/>
        <w:ind w:left="720" w:right="512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Propostas devem estar relacionadas com a popularização das práticas culturais relacionadas ao livro, à leitura, à literatura, à disseminação do acervo e à informação, entendendo o direito à informação e a produção de comunicação como práticas cidadãs.</w:t>
      </w:r>
    </w:p>
    <w:p w:rsidR="00000000" w:rsidDel="00000000" w:rsidP="00000000" w:rsidRDefault="00000000" w:rsidRPr="00000000" w14:paraId="0000003B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5.3.2. Mobilização:</w:t>
      </w:r>
    </w:p>
    <w:p w:rsidR="00000000" w:rsidDel="00000000" w:rsidP="00000000" w:rsidRDefault="00000000" w:rsidRPr="00000000" w14:paraId="0000003C">
      <w:pPr>
        <w:spacing w:line="276" w:lineRule="auto"/>
        <w:ind w:left="301" w:right="51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Ações de envolvimento e mobilização da comunidade na gestão da biblioteca comunitária ou popular.</w:t>
      </w:r>
    </w:p>
    <w:p w:rsidR="00000000" w:rsidDel="00000000" w:rsidP="00000000" w:rsidRDefault="00000000" w:rsidRPr="00000000" w14:paraId="0000003D">
      <w:pPr>
        <w:spacing w:before="39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032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5.4. FORMAÇÃO DE PESSOAL:</w:t>
      </w:r>
    </w:p>
    <w:p w:rsidR="00000000" w:rsidDel="00000000" w:rsidP="00000000" w:rsidRDefault="00000000" w:rsidRPr="00000000" w14:paraId="0000003F">
      <w:pPr>
        <w:tabs>
          <w:tab w:val="left" w:leader="none" w:pos="1032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5.4.1. Formação de funcionários(as) e gestores(as):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42" w:line="276" w:lineRule="auto"/>
        <w:ind w:left="301" w:right="512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Atividades específicas no campo da leitura, da Biblioteconomia e da gestão de espaços culturais, para melhorar os serviços prestados pela biblioteca comunitária ou popular.</w:t>
      </w:r>
    </w:p>
    <w:p w:rsidR="00000000" w:rsidDel="00000000" w:rsidP="00000000" w:rsidRDefault="00000000" w:rsidRPr="00000000" w14:paraId="00000041">
      <w:pPr>
        <w:tabs>
          <w:tab w:val="left" w:leader="none" w:pos="1231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5.4.2. Formação de pessoas mediadoras: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tabs>
          <w:tab w:val="left" w:leader="none" w:pos="619"/>
        </w:tabs>
        <w:spacing w:line="276" w:lineRule="auto"/>
        <w:ind w:left="720" w:right="515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Cursos, oficinas, assessorias e mentorias para formar pessoas mediadoras de leitura.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tabs>
          <w:tab w:val="left" w:leader="none" w:pos="619"/>
        </w:tabs>
        <w:spacing w:line="276" w:lineRule="auto"/>
        <w:ind w:left="720" w:right="515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Desenvolvimento de programas de mediação de leitura com grupos (pontuais e fixos), para refletir sobre a diversidade de práticas culturais que facilitem o diálogo entre livros e os diversos leitores da comunidade, em diversas etapas da vida, considerando o sujeito histórico cultural e seus direitos.</w:t>
      </w:r>
    </w:p>
    <w:p w:rsidR="00000000" w:rsidDel="00000000" w:rsidP="00000000" w:rsidRDefault="00000000" w:rsidRPr="00000000" w14:paraId="00000044">
      <w:pPr>
        <w:tabs>
          <w:tab w:val="left" w:leader="none" w:pos="966"/>
        </w:tabs>
        <w:spacing w:before="1"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966"/>
        </w:tabs>
        <w:spacing w:before="1"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5.5. ACERVO:</w:t>
      </w:r>
    </w:p>
    <w:p w:rsidR="00000000" w:rsidDel="00000000" w:rsidP="00000000" w:rsidRDefault="00000000" w:rsidRPr="00000000" w14:paraId="00000046">
      <w:pPr>
        <w:tabs>
          <w:tab w:val="left" w:leader="none" w:pos="966"/>
        </w:tabs>
        <w:spacing w:before="1"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5.5.1. Renovação de acervo:</w:t>
      </w:r>
    </w:p>
    <w:p w:rsidR="00000000" w:rsidDel="00000000" w:rsidP="00000000" w:rsidRDefault="00000000" w:rsidRPr="00000000" w14:paraId="00000047">
      <w:pPr>
        <w:spacing w:before="40" w:line="276" w:lineRule="auto"/>
        <w:ind w:left="301" w:right="509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Aquisição de acervo em livrarias e sebos do Ceará, com a indicação de representantes da biblioteca, da comunidade e uma pessoa convidada especialista em livros literários infantis e juvenis. Formulação de critérios de aquisição e desenvolvimento do acervo, com proposta de comunicação para visibilidade dos volumes adquiridos.</w:t>
      </w:r>
    </w:p>
    <w:p w:rsidR="00000000" w:rsidDel="00000000" w:rsidP="00000000" w:rsidRDefault="00000000" w:rsidRPr="00000000" w14:paraId="00000048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5.5.2. Serviço (organização e tratamento de acervo):</w:t>
      </w:r>
    </w:p>
    <w:p w:rsidR="00000000" w:rsidDel="00000000" w:rsidP="00000000" w:rsidRDefault="00000000" w:rsidRPr="00000000" w14:paraId="00000049">
      <w:pPr>
        <w:spacing w:before="42" w:line="276" w:lineRule="auto"/>
        <w:ind w:left="301" w:right="516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Catalogação, organização e recuperação de acervo (conservação e restauração), incluindo oficinas básicas de recuperação.</w:t>
      </w:r>
    </w:p>
    <w:p w:rsidR="00000000" w:rsidDel="00000000" w:rsidP="00000000" w:rsidRDefault="00000000" w:rsidRPr="00000000" w14:paraId="0000004A">
      <w:pPr>
        <w:spacing w:before="39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6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5.6. TECNOLOGIAS:</w:t>
      </w:r>
    </w:p>
    <w:p w:rsidR="00000000" w:rsidDel="00000000" w:rsidP="00000000" w:rsidRDefault="00000000" w:rsidRPr="00000000" w14:paraId="0000004C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5.6.1. Com a comunidade:</w:t>
      </w:r>
    </w:p>
    <w:p w:rsidR="00000000" w:rsidDel="00000000" w:rsidP="00000000" w:rsidRDefault="00000000" w:rsidRPr="00000000" w14:paraId="0000004D">
      <w:pPr>
        <w:spacing w:before="42" w:line="276" w:lineRule="auto"/>
        <w:ind w:left="301" w:right="512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Propostas que promovam o acesso à cultura digital e a conectividade nas comunidades e suas bibliotecas. Implementação ou fortalecimento de serviços online.</w:t>
      </w:r>
    </w:p>
    <w:p w:rsidR="00000000" w:rsidDel="00000000" w:rsidP="00000000" w:rsidRDefault="00000000" w:rsidRPr="00000000" w14:paraId="0000004E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5.6.2. Para a biblioteca</w:t>
      </w:r>
    </w:p>
    <w:p w:rsidR="00000000" w:rsidDel="00000000" w:rsidP="00000000" w:rsidRDefault="00000000" w:rsidRPr="00000000" w14:paraId="0000004F">
      <w:pPr>
        <w:spacing w:before="40" w:line="276" w:lineRule="auto"/>
        <w:ind w:left="301" w:right="51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Modernização por meio da informatização dos serviços de controle e empréstimo dos livros da biblioteca comunitária ou popular.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5.7. PROGRAMAÇÃO CULTURAL:</w:t>
      </w:r>
    </w:p>
    <w:p w:rsidR="00000000" w:rsidDel="00000000" w:rsidP="00000000" w:rsidRDefault="00000000" w:rsidRPr="00000000" w14:paraId="00000052">
      <w:pPr>
        <w:spacing w:line="276" w:lineRule="auto"/>
        <w:ind w:left="283.464566929133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Ações culturais regulares, ou criação de novas ações, voltadas para a dinamização dos espaços.</w:t>
      </w:r>
    </w:p>
    <w:p w:rsidR="00000000" w:rsidDel="00000000" w:rsidP="00000000" w:rsidRDefault="00000000" w:rsidRPr="00000000" w14:paraId="00000053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5.7.1 Fruição:</w:t>
      </w:r>
    </w:p>
    <w:p w:rsidR="00000000" w:rsidDel="00000000" w:rsidP="00000000" w:rsidRDefault="00000000" w:rsidRPr="00000000" w14:paraId="00000054">
      <w:pPr>
        <w:spacing w:before="40" w:line="276" w:lineRule="auto"/>
        <w:ind w:left="301" w:right="513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Programação cultural como, contações de histórias, sessões de espetáculos literários e musicais, propiciando atividades de criação, circulação e fruição para e com crianças, jovens ou pessoas idosas.</w:t>
      </w:r>
    </w:p>
    <w:p w:rsidR="00000000" w:rsidDel="00000000" w:rsidP="00000000" w:rsidRDefault="00000000" w:rsidRPr="00000000" w14:paraId="00000055">
      <w:pPr>
        <w:tabs>
          <w:tab w:val="left" w:leader="none" w:pos="116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5.7.2. Escrita:</w:t>
      </w:r>
    </w:p>
    <w:p w:rsidR="00000000" w:rsidDel="00000000" w:rsidP="00000000" w:rsidRDefault="00000000" w:rsidRPr="00000000" w14:paraId="00000056">
      <w:pPr>
        <w:spacing w:before="42" w:line="276" w:lineRule="auto"/>
        <w:ind w:left="301" w:right="509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Oficinas de criação literária (do tipo narrativas de histórias de vida) que permitam a reconstrução e a valorização da história e memória locais, bem como a valorização da identidade cultural da comunidade.</w:t>
      </w:r>
    </w:p>
    <w:p w:rsidR="00000000" w:rsidDel="00000000" w:rsidP="00000000" w:rsidRDefault="00000000" w:rsidRPr="00000000" w14:paraId="00000057">
      <w:pPr>
        <w:spacing w:before="4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96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5.8. AQUISIÇÃO DE BENS</w:t>
      </w:r>
    </w:p>
    <w:p w:rsidR="00000000" w:rsidDel="00000000" w:rsidP="00000000" w:rsidRDefault="00000000" w:rsidRPr="00000000" w14:paraId="00000059">
      <w:pPr>
        <w:spacing w:before="40" w:line="276" w:lineRule="auto"/>
        <w:ind w:left="301" w:right="51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Compra de móveis e equipamentos para a melhoria de espaços e serviços da biblioteca comunitária ou popular.</w:t>
      </w:r>
    </w:p>
    <w:p w:rsidR="00000000" w:rsidDel="00000000" w:rsidP="00000000" w:rsidRDefault="00000000" w:rsidRPr="00000000" w14:paraId="0000005A">
      <w:pPr>
        <w:spacing w:before="41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6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5.9. MANUTENÇÃO</w:t>
      </w:r>
    </w:p>
    <w:p w:rsidR="00000000" w:rsidDel="00000000" w:rsidP="00000000" w:rsidRDefault="00000000" w:rsidRPr="00000000" w14:paraId="0000005C">
      <w:pPr>
        <w:spacing w:before="40" w:line="276" w:lineRule="auto"/>
        <w:ind w:left="30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Manutenção do espaço e dos serviços da biblioteca comunitária ou popular.</w:t>
      </w:r>
    </w:p>
    <w:p w:rsidR="00000000" w:rsidDel="00000000" w:rsidP="00000000" w:rsidRDefault="00000000" w:rsidRPr="00000000" w14:paraId="0000005D">
      <w:pPr>
        <w:spacing w:before="82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67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6.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VALORES E QUANTIDADE DE VAGAS</w:t>
      </w:r>
    </w:p>
    <w:p w:rsidR="00000000" w:rsidDel="00000000" w:rsidP="00000000" w:rsidRDefault="00000000" w:rsidRPr="00000000" w14:paraId="0000005F">
      <w:pPr>
        <w:tabs>
          <w:tab w:val="left" w:leader="none" w:pos="567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567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6.1.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Serão selecionados 20 (vinte) projetos, cujo aporte financeiro está descrito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97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2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10"/>
        <w:gridCol w:w="2085"/>
        <w:gridCol w:w="2190"/>
        <w:gridCol w:w="2700"/>
        <w:tblGridChange w:id="0">
          <w:tblGrid>
            <w:gridCol w:w="2610"/>
            <w:gridCol w:w="2085"/>
            <w:gridCol w:w="2190"/>
            <w:gridCol w:w="2700"/>
          </w:tblGrid>
        </w:tblGridChange>
      </w:tblGrid>
      <w:tr>
        <w:trPr>
          <w:cantSplit w:val="0"/>
          <w:trHeight w:val="1267" w:hRule="atLeast"/>
          <w:tblHeader w:val="0"/>
        </w:trPr>
        <w:tc>
          <w:tcPr>
            <w:tcBorders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spacing w:before="181" w:line="276" w:lineRule="auto"/>
              <w:ind w:right="16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CATEGORIA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spacing w:line="276" w:lineRule="auto"/>
              <w:ind w:left="411" w:right="425" w:firstLine="324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Nº DE PROJETOS APOIADOS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spacing w:line="276" w:lineRule="auto"/>
              <w:ind w:left="547" w:right="526" w:hanging="2.0000000000000284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VALOR APOIADO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16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POR PROJETO</w:t>
            </w:r>
          </w:p>
        </w:tc>
        <w:tc>
          <w:tcPr>
            <w:tcBorders>
              <w:lef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spacing w:line="276" w:lineRule="auto"/>
              <w:ind w:left="709" w:right="457" w:hanging="234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VALOR DE APOIO</w:t>
            </w:r>
          </w:p>
        </w:tc>
      </w:tr>
      <w:tr>
        <w:trPr>
          <w:cantSplit w:val="0"/>
          <w:trHeight w:val="445.437825520831" w:hRule="atLeast"/>
          <w:tblHeader w:val="0"/>
        </w:trPr>
        <w:tc>
          <w:tcPr>
            <w:tcBorders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ind w:right="1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right="1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Bibliotecas Comunitárias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9">
            <w:pPr>
              <w:spacing w:before="40"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1" w:line="276" w:lineRule="auto"/>
              <w:ind w:left="18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20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B">
            <w:pPr>
              <w:spacing w:before="40"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1" w:line="276" w:lineRule="auto"/>
              <w:ind w:left="39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R$ 50.000,00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</w:tcBorders>
          </w:tcPr>
          <w:p w:rsidR="00000000" w:rsidDel="00000000" w:rsidP="00000000" w:rsidRDefault="00000000" w:rsidRPr="00000000" w14:paraId="0000006D">
            <w:pPr>
              <w:spacing w:before="40"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1" w:line="276" w:lineRule="auto"/>
              <w:ind w:left="31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R$ 1.000.000,00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F">
            <w:pPr>
              <w:spacing w:before="39"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17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1">
            <w:pPr>
              <w:spacing w:before="39"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18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</w:tcBorders>
          </w:tcPr>
          <w:p w:rsidR="00000000" w:rsidDel="00000000" w:rsidP="00000000" w:rsidRDefault="00000000" w:rsidRPr="00000000" w14:paraId="00000073">
            <w:pPr>
              <w:spacing w:before="39"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1417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R$ 1.000.000,00</w:t>
            </w:r>
          </w:p>
        </w:tc>
      </w:tr>
    </w:tbl>
    <w:p w:rsidR="00000000" w:rsidDel="00000000" w:rsidP="00000000" w:rsidRDefault="00000000" w:rsidRPr="00000000" w14:paraId="00000076">
      <w:pPr>
        <w:spacing w:before="147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6.2. No mínimo 50% (cinquenta por cento) do total de recursos financeiros previstos neste Edital serão destinados a propostas advindas de outros municípios que não da Capital Fortaleza.</w:t>
      </w:r>
    </w:p>
    <w:p w:rsidR="00000000" w:rsidDel="00000000" w:rsidP="00000000" w:rsidRDefault="00000000" w:rsidRPr="00000000" w14:paraId="00000078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6.3. Havendo insuficiência de projetos classificados entre capital e outros municípios cearenses em cada categoria, a Comissão de Avaliação e Seleção poderá realizar o remanejamento de recursos para ampliar o número de projetos selecionados em outras categorias da mesma modalidade e, na sequência, para categorias de outras modalidades, respeitando a ordem decrescente de classificação da modalidade e geral, respectivamente.</w:t>
      </w:r>
    </w:p>
    <w:p w:rsidR="00000000" w:rsidDel="00000000" w:rsidP="00000000" w:rsidRDefault="00000000" w:rsidRPr="00000000" w14:paraId="0000007A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6.4. Não haverá obrigatoriedade de porcentagem mínima para as ações de acessibilidade no projeto, porém, deve-se garantir no Plano de Ação a viabilidade de realização das ações, com valores compatíveis com os preços praticados no mercado.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772"/>
        </w:tabs>
        <w:spacing w:before="1" w:line="276" w:lineRule="auto"/>
        <w:ind w:left="0" w:right="54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6.5.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que apresentem quaisquer formas de preconceito de origem, raça, etnia, gênero, cor, idade ou outras formas de discriminação serão desclassificados, com fundamento no disposto no inciso IV do art. 3 da Constituição Federal, garantidos o contraditório e a ampla defesa.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45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45"/>
        </w:tabs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45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7. CRITÉRIOS ADOTADOS PARA A SELEÇÃO </w:t>
      </w:r>
    </w:p>
    <w:p w:rsidR="00000000" w:rsidDel="00000000" w:rsidP="00000000" w:rsidRDefault="00000000" w:rsidRPr="00000000" w14:paraId="00000081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7.1. Critérios de Mérito Cultural e Capacidade Técnica:</w:t>
      </w:r>
    </w:p>
    <w:p w:rsidR="00000000" w:rsidDel="00000000" w:rsidP="00000000" w:rsidRDefault="00000000" w:rsidRPr="00000000" w14:paraId="00000083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726"/>
        </w:tabs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105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Ind w:w="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850"/>
        <w:gridCol w:w="900"/>
        <w:gridCol w:w="1800"/>
        <w:gridCol w:w="1065"/>
        <w:tblGridChange w:id="0">
          <w:tblGrid>
            <w:gridCol w:w="5850"/>
            <w:gridCol w:w="900"/>
            <w:gridCol w:w="1800"/>
            <w:gridCol w:w="106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8A">
            <w:pPr>
              <w:spacing w:line="276" w:lineRule="auto"/>
              <w:ind w:left="736" w:firstLine="0"/>
              <w:jc w:val="center"/>
              <w:rPr>
                <w:rFonts w:ascii="Nunito" w:cs="Nunito" w:eastAsia="Nunito" w:hAnsi="Nunito"/>
                <w:b w:val="1"/>
                <w:shd w:fill="cccccc" w:val="clear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hd w:fill="cccccc" w:val="clear"/>
                <w:rtl w:val="0"/>
              </w:rPr>
              <w:t xml:space="preserve">BIBLIOTECAS COMUNITÁRIAS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8E">
            <w:pPr>
              <w:spacing w:before="70" w:line="276" w:lineRule="auto"/>
              <w:ind w:left="2556" w:right="2341.889763779528" w:firstLine="0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ITEM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F">
            <w:pPr>
              <w:spacing w:before="100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PESO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0">
            <w:pPr>
              <w:spacing w:before="70" w:line="276" w:lineRule="auto"/>
              <w:ind w:right="60.944881889763565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PONTUAÇÃO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1">
            <w:pPr>
              <w:spacing w:before="100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TOTAL</w:t>
            </w:r>
          </w:p>
        </w:tc>
      </w:tr>
      <w:tr>
        <w:trPr>
          <w:cantSplit w:val="0"/>
          <w:trHeight w:val="504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tabs>
                <w:tab w:val="left" w:leader="none" w:pos="450"/>
              </w:tabs>
              <w:spacing w:before="98" w:line="276" w:lineRule="auto"/>
              <w:ind w:left="450" w:hanging="23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Impacto cultural e social para a comunidade:</w:t>
            </w:r>
          </w:p>
          <w:p w:rsidR="00000000" w:rsidDel="00000000" w:rsidP="00000000" w:rsidRDefault="00000000" w:rsidRPr="00000000" w14:paraId="00000093">
            <w:pPr>
              <w:numPr>
                <w:ilvl w:val="1"/>
                <w:numId w:val="4"/>
              </w:numPr>
              <w:tabs>
                <w:tab w:val="left" w:leader="none" w:pos="1036"/>
              </w:tabs>
              <w:spacing w:line="276" w:lineRule="auto"/>
              <w:ind w:left="830" w:right="296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Ações de valorização do conhecimento e da leitura como prática cultural.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4"/>
              </w:numPr>
              <w:tabs>
                <w:tab w:val="left" w:leader="none" w:pos="1013"/>
              </w:tabs>
              <w:spacing w:before="20" w:line="276" w:lineRule="auto"/>
              <w:ind w:left="830" w:right="292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Ações de democratização do acesso à leitura, à informação e ao livro.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4"/>
              </w:numPr>
              <w:tabs>
                <w:tab w:val="left" w:leader="none" w:pos="1013"/>
              </w:tabs>
              <w:spacing w:before="20" w:line="276" w:lineRule="auto"/>
              <w:ind w:left="830" w:right="292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Relevância do projeto para a continuidade e o fortalecimento dos serviços prestados pela biblioteca comunitária ou popular.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4"/>
              </w:numPr>
              <w:tabs>
                <w:tab w:val="left" w:leader="none" w:pos="1135"/>
              </w:tabs>
              <w:spacing w:before="20" w:line="276" w:lineRule="auto"/>
              <w:ind w:left="830" w:right="289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Inclusão da comunidade pela biblioteca comunitária ou popular.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4"/>
              </w:numPr>
              <w:tabs>
                <w:tab w:val="left" w:leader="none" w:pos="1019"/>
              </w:tabs>
              <w:spacing w:before="20" w:line="276" w:lineRule="auto"/>
              <w:ind w:left="830" w:right="289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Projetos que atendam às demandas sociais a fim de combater as segregações étnicas e raciais, de gênero, e desigualdades de distribuição de renda, povos originários e comunidades tradicionais, população negra, população LGBTI+, comunidades periféricas, pessoas idosas e pessoas com deficiência sejam reconhecidos como fazedores de cultura com preciosidade estética e conceitual.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4"/>
              </w:numPr>
              <w:tabs>
                <w:tab w:val="left" w:leader="none" w:pos="1062"/>
              </w:tabs>
              <w:spacing w:before="20" w:line="276" w:lineRule="auto"/>
              <w:ind w:left="830" w:right="292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Promoção de acessibilidade à pessoa com deficiência e/ou idosa.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34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left="27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34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left="12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34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ind w:left="49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9F">
            <w:pPr>
              <w:spacing w:before="34" w:line="276" w:lineRule="auto"/>
              <w:ind w:left="49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tabs>
                <w:tab w:val="left" w:leader="none" w:pos="451"/>
              </w:tabs>
              <w:spacing w:before="100" w:line="276" w:lineRule="auto"/>
              <w:ind w:left="451" w:hanging="231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Acessibilidade do Projeto ao Público:</w:t>
            </w:r>
          </w:p>
          <w:p w:rsidR="00000000" w:rsidDel="00000000" w:rsidP="00000000" w:rsidRDefault="00000000" w:rsidRPr="00000000" w14:paraId="000000A1">
            <w:pPr>
              <w:numPr>
                <w:ilvl w:val="1"/>
                <w:numId w:val="6"/>
              </w:numPr>
              <w:tabs>
                <w:tab w:val="left" w:leader="none" w:pos="1076"/>
              </w:tabs>
              <w:spacing w:before="4" w:line="276" w:lineRule="auto"/>
              <w:ind w:left="830" w:right="395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apresenta estratégias eficazes de formação de público, garantindo acesso democrático.</w:t>
            </w:r>
          </w:p>
          <w:p w:rsidR="00000000" w:rsidDel="00000000" w:rsidP="00000000" w:rsidRDefault="00000000" w:rsidRPr="00000000" w14:paraId="000000A2">
            <w:pPr>
              <w:numPr>
                <w:ilvl w:val="1"/>
                <w:numId w:val="6"/>
              </w:numPr>
              <w:tabs>
                <w:tab w:val="left" w:leader="none" w:pos="1076"/>
              </w:tabs>
              <w:spacing w:before="4" w:line="276" w:lineRule="auto"/>
              <w:ind w:left="830" w:right="395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 recursos de acessibilidade para permitir o acesso de pessoas com deficiência, mobilidade reduzida ou idosa aos locais onde se realizam as atividades culturais e a espaços acessórios.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spacing w:before="36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left="27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spacing w:before="36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ind w:left="12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spacing w:before="36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ind w:left="49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A9">
            <w:pPr>
              <w:spacing w:before="34" w:line="276" w:lineRule="auto"/>
              <w:ind w:left="49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tabs>
                <w:tab w:val="left" w:leader="none" w:pos="1091"/>
              </w:tabs>
              <w:spacing w:line="276" w:lineRule="auto"/>
              <w:ind w:left="830" w:right="392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 ações de acessibilidade do conteúdo para compreensão por qualquer pessoa, independente de sua condição física, comunicacional ou intelectual.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tabs>
                <w:tab w:val="left" w:leader="none" w:pos="1091"/>
              </w:tabs>
              <w:spacing w:line="276" w:lineRule="auto"/>
              <w:ind w:left="830" w:right="392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 recursos de acessibilidade para permitir o acesso de pessoas com deficiência intelectual, auditiva ou visual ao conteúdo dos produtos culturais gerados pelo projeto, pela iniciativa ou pelo espaço.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tabs>
                <w:tab w:val="left" w:leader="none" w:pos="1217"/>
                <w:tab w:val="left" w:leader="none" w:pos="2118"/>
                <w:tab w:val="left" w:leader="none" w:pos="2763"/>
                <w:tab w:val="left" w:leader="none" w:pos="4230"/>
                <w:tab w:val="left" w:leader="none" w:pos="4720"/>
              </w:tabs>
              <w:spacing w:line="276" w:lineRule="auto"/>
              <w:ind w:left="830" w:right="396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 planejamento de sua divulgação, visando maior participação por qualquer pessoa.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914062499999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numPr>
                <w:ilvl w:val="0"/>
                <w:numId w:val="7"/>
              </w:numPr>
              <w:tabs>
                <w:tab w:val="left" w:leader="none" w:pos="1103"/>
              </w:tabs>
              <w:spacing w:line="276" w:lineRule="auto"/>
              <w:ind w:left="830" w:right="393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Ações que permitam maior acesso das pessoas com deficiência aos bens e produtos culturais resultantes.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7"/>
              </w:numPr>
              <w:tabs>
                <w:tab w:val="left" w:leader="none" w:pos="1103"/>
              </w:tabs>
              <w:spacing w:line="276" w:lineRule="auto"/>
              <w:ind w:left="830" w:right="393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 a contratação de profissionais sensibilizados e capacitados para o atendimento de visitantes e usuários com diferentes deficiências e para o desenvolvimento de projetos culturais acessíveis desde a sua concepção.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before="2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835"/>
        <w:gridCol w:w="1080"/>
        <w:gridCol w:w="1620"/>
        <w:gridCol w:w="1080"/>
        <w:tblGridChange w:id="0">
          <w:tblGrid>
            <w:gridCol w:w="5835"/>
            <w:gridCol w:w="1080"/>
            <w:gridCol w:w="1620"/>
            <w:gridCol w:w="1080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tabs>
                <w:tab w:val="left" w:leader="none" w:pos="450"/>
              </w:tabs>
              <w:spacing w:before="98" w:line="276" w:lineRule="auto"/>
              <w:ind w:left="450" w:hanging="23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Clareza e objetividade da proposta:</w:t>
            </w:r>
          </w:p>
          <w:p w:rsidR="00000000" w:rsidDel="00000000" w:rsidP="00000000" w:rsidRDefault="00000000" w:rsidRPr="00000000" w14:paraId="000000BA">
            <w:pPr>
              <w:numPr>
                <w:ilvl w:val="1"/>
                <w:numId w:val="5"/>
              </w:numPr>
              <w:tabs>
                <w:tab w:val="left" w:leader="none" w:pos="1143"/>
              </w:tabs>
              <w:spacing w:before="134" w:line="276" w:lineRule="auto"/>
              <w:ind w:left="830" w:right="180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Coerência entre as ações propostas, a metodologia e os custos apresentados.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spacing w:before="34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ind w:left="27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spacing w:before="34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ind w:left="12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spacing w:before="34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ind w:left="49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1">
            <w:pPr>
              <w:spacing w:before="34" w:line="276" w:lineRule="auto"/>
              <w:ind w:left="49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tabs>
                <w:tab w:val="left" w:leader="none" w:pos="1068"/>
              </w:tabs>
              <w:spacing w:before="62" w:line="276" w:lineRule="auto"/>
              <w:ind w:left="830" w:right="183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Conveniência de sua execução, descrita de maneira clara e objetiva.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numPr>
                <w:ilvl w:val="0"/>
                <w:numId w:val="12"/>
              </w:numPr>
              <w:tabs>
                <w:tab w:val="left" w:leader="none" w:pos="1007"/>
              </w:tabs>
              <w:spacing w:before="63" w:line="276" w:lineRule="auto"/>
              <w:ind w:left="830" w:right="183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Planilha financeira que demonstre que o projeto é executável, de acordo com a proposta apresentada e o valor do apoio.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numPr>
                <w:ilvl w:val="0"/>
                <w:numId w:val="10"/>
              </w:numPr>
              <w:tabs>
                <w:tab w:val="left" w:leader="none" w:pos="1123"/>
              </w:tabs>
              <w:spacing w:before="62" w:line="276" w:lineRule="auto"/>
              <w:ind w:left="830" w:right="181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Ações que estimulem a articulação e a cooperação com outros projetos, organizações e comunidades.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numPr>
                <w:ilvl w:val="0"/>
                <w:numId w:val="9"/>
              </w:numPr>
              <w:tabs>
                <w:tab w:val="left" w:leader="none" w:pos="1007"/>
              </w:tabs>
              <w:spacing w:before="63" w:line="276" w:lineRule="auto"/>
              <w:ind w:left="830" w:right="182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Proposta de geração de renda aos profissionais envolvidos e/ou público participante, de parcerias e de circulação de bens e serviços da própria comunidade.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3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8"/>
              </w:numPr>
              <w:tabs>
                <w:tab w:val="left" w:leader="none" w:pos="518"/>
              </w:tabs>
              <w:spacing w:before="100" w:line="276" w:lineRule="auto"/>
              <w:ind w:left="518" w:hanging="298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Adequação de viabilidade:</w:t>
            </w:r>
          </w:p>
          <w:p w:rsidR="00000000" w:rsidDel="00000000" w:rsidP="00000000" w:rsidRDefault="00000000" w:rsidRPr="00000000" w14:paraId="000000D3">
            <w:pPr>
              <w:numPr>
                <w:ilvl w:val="1"/>
                <w:numId w:val="8"/>
              </w:numPr>
              <w:tabs>
                <w:tab w:val="left" w:leader="none" w:pos="1050"/>
              </w:tabs>
              <w:spacing w:before="34" w:line="276" w:lineRule="auto"/>
              <w:ind w:left="830" w:right="291" w:firstLine="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Adequação da proposta à estrutura física e capacidade da biblioteca comunitária ou popular.</w:t>
            </w:r>
          </w:p>
          <w:p w:rsidR="00000000" w:rsidDel="00000000" w:rsidP="00000000" w:rsidRDefault="00000000" w:rsidRPr="00000000" w14:paraId="000000D4">
            <w:pPr>
              <w:numPr>
                <w:ilvl w:val="1"/>
                <w:numId w:val="8"/>
              </w:numPr>
              <w:tabs>
                <w:tab w:val="left" w:leader="none" w:pos="1021"/>
              </w:tabs>
              <w:spacing w:before="19" w:line="276" w:lineRule="auto"/>
              <w:ind w:left="1021" w:hanging="190.99999999999994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Capacidade de articulação e de envolvimento </w:t>
            </w:r>
          </w:p>
          <w:p w:rsidR="00000000" w:rsidDel="00000000" w:rsidP="00000000" w:rsidRDefault="00000000" w:rsidRPr="00000000" w14:paraId="000000D5">
            <w:pPr>
              <w:spacing w:before="34" w:line="276" w:lineRule="auto"/>
              <w:ind w:left="83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comunitário na execução do projeto.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36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ind w:left="406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36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ind w:left="12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before="36"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ind w:right="314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08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DC">
            <w:pPr>
              <w:spacing w:before="98" w:line="276" w:lineRule="auto"/>
              <w:ind w:left="220" w:firstLine="0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MÁXIMO DE PONTOS</w:t>
            </w:r>
          </w:p>
        </w:tc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DD">
            <w:pPr>
              <w:spacing w:before="98" w:line="276" w:lineRule="auto"/>
              <w:ind w:left="25" w:firstLine="0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 w14:paraId="000000E0">
      <w:pPr>
        <w:spacing w:before="48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ind w:left="0" w:right="88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7.2.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Para atribuição de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pontos de bonificação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em todas as categorias: Durante a etapa de Seleção, serão atribuídas pontuações extras para projetos que comprovadamente cumprem ações afirmativas em critérios de diversidade da equipe básica e do projeto, conforme tabela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spacing w:line="276" w:lineRule="auto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10"/>
        <w:gridCol w:w="1860"/>
        <w:tblGridChange w:id="0">
          <w:tblGrid>
            <w:gridCol w:w="7710"/>
            <w:gridCol w:w="18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-1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1"/>
              <w:tabs>
                <w:tab w:val="left" w:leader="none" w:pos="284"/>
              </w:tabs>
              <w:spacing w:line="276" w:lineRule="auto"/>
              <w:ind w:left="141.73228346456676" w:right="2.598425196851508" w:hanging="15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 DE BONIFICAÇÃO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-1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1"/>
              <w:tabs>
                <w:tab w:val="left" w:leader="none" w:pos="3.000000000000682"/>
              </w:tabs>
              <w:spacing w:line="276" w:lineRule="auto"/>
              <w:ind w:left="141.73228346456744" w:right="2.598425196851508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PONTO EXTRA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ind w:right="2.598425196851508" w:hanging="1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 I - Proponente: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Neste critério será bonificado, com </w:t>
            </w:r>
            <w:r w:rsidDel="00000000" w:rsidR="00000000" w:rsidRPr="00000000">
              <w:rPr>
                <w:rFonts w:ascii="Nunito" w:cs="Nunito" w:eastAsia="Nunito" w:hAnsi="Nunito"/>
                <w:b w:val="1"/>
                <w:u w:val="single"/>
                <w:rtl w:val="0"/>
              </w:rPr>
              <w:t xml:space="preserve">bonificação única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ou seja, não cumulativa, exclusivamente o proponente do projeto inscrito.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  <w:strike w:val="1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Proponentes mulheres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Proponentes pessoas trans (travestis, mulheres e homens transexuais)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Proponentes 60+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ind w:right="2.598425196851508" w:hanging="15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 II - Diversidade da Equipe Básica: 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Neste critério será bonificado, com </w:t>
            </w:r>
            <w:r w:rsidDel="00000000" w:rsidR="00000000" w:rsidRPr="00000000">
              <w:rPr>
                <w:rFonts w:ascii="Nunito" w:cs="Nunito" w:eastAsia="Nunito" w:hAnsi="Nunito"/>
                <w:b w:val="1"/>
                <w:u w:val="single"/>
                <w:rtl w:val="0"/>
              </w:rPr>
              <w:t xml:space="preserve">bonificação cumulativa de até 02 (dois) pontos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, os demais membros da equipe básica, </w:t>
            </w:r>
            <w:r w:rsidDel="00000000" w:rsidR="00000000" w:rsidRPr="00000000">
              <w:rPr>
                <w:rFonts w:ascii="Nunito" w:cs="Nunito" w:eastAsia="Nunito" w:hAnsi="Nunito"/>
                <w:i w:val="1"/>
                <w:u w:val="single"/>
                <w:rtl w:val="0"/>
              </w:rPr>
              <w:t xml:space="preserve">se houver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, do projeto. 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LGBTI+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Indígenas, quilombolas e negras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Pessoas com deficiências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1"/>
              <w:spacing w:before="99" w:line="276" w:lineRule="auto"/>
              <w:ind w:left="101" w:firstLine="0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MÁXIMO DE PONTOS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99" w:line="276" w:lineRule="auto"/>
              <w:ind w:left="24" w:right="2" w:firstLine="0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03</w:t>
            </w:r>
          </w:p>
        </w:tc>
      </w:tr>
    </w:tbl>
    <w:p w:rsidR="00000000" w:rsidDel="00000000" w:rsidP="00000000" w:rsidRDefault="00000000" w:rsidRPr="00000000" w14:paraId="000000F9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7.3. Em cumprimento a Instrução Normativa MinC nº 10/2024, a política de bonificação cumpre mecanismos de estímulo à participação e ao protagonismo de agentes culturais e equipes compostas de forma representativa por mulheres, pessoas negras, pessoas indígenas, comunidades tradicionais de matriz africana e/ou afro-brasileiras, pessoas quilombolas, pessoas LGBTI+, pessoas com deficiência e outros grupos subalternizados e marginalizados na sociedade. </w:t>
      </w:r>
    </w:p>
    <w:p w:rsidR="00000000" w:rsidDel="00000000" w:rsidP="00000000" w:rsidRDefault="00000000" w:rsidRPr="00000000" w14:paraId="000000FB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7.4. O cumprimento de ações afirmativas no Critério II - Diversidade da Equipe Básica, deverá ser comprovado da seguinte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39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4"/>
        </w:numPr>
        <w:tabs>
          <w:tab w:val="left" w:leader="none" w:pos="680"/>
        </w:tabs>
        <w:spacing w:line="276" w:lineRule="auto"/>
        <w:ind w:left="680" w:hanging="279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Mulheres, LGBTI+, indígenas, quilombolas e pessoas negras: autodeclaração emitida e assinada pela pessoa que faz jus a pontuação (Anexos 6, 9, 8 e 5,).</w:t>
      </w:r>
    </w:p>
    <w:p w:rsidR="00000000" w:rsidDel="00000000" w:rsidP="00000000" w:rsidRDefault="00000000" w:rsidRPr="00000000" w14:paraId="000000FF">
      <w:pPr>
        <w:tabs>
          <w:tab w:val="left" w:leader="none" w:pos="680"/>
        </w:tabs>
        <w:spacing w:line="276" w:lineRule="auto"/>
        <w:ind w:left="68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4"/>
        </w:numPr>
        <w:tabs>
          <w:tab w:val="left" w:leader="none" w:pos="680"/>
        </w:tabs>
        <w:spacing w:line="276" w:lineRule="auto"/>
        <w:ind w:left="680" w:hanging="279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Pessoas com deficiências: laudo médico conforme modelo disponibilizado no edital (Anexo 7);</w:t>
      </w:r>
    </w:p>
    <w:p w:rsidR="00000000" w:rsidDel="00000000" w:rsidP="00000000" w:rsidRDefault="00000000" w:rsidRPr="00000000" w14:paraId="00000101">
      <w:pPr>
        <w:tabs>
          <w:tab w:val="left" w:leader="none" w:pos="680"/>
        </w:tabs>
        <w:spacing w:line="276" w:lineRule="auto"/>
        <w:ind w:left="68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7.5. A pontuação máxima permitida no Critério I - Diversidade de Proponente será de até 01 (um) ponto.</w:t>
      </w:r>
    </w:p>
    <w:p w:rsidR="00000000" w:rsidDel="00000000" w:rsidP="00000000" w:rsidRDefault="00000000" w:rsidRPr="00000000" w14:paraId="00000103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7.6. A pontuação máxima permitida no Critério II - Diversidade da Equipe Básica será de até 02 (dois) pontos.</w:t>
      </w:r>
    </w:p>
    <w:p w:rsidR="00000000" w:rsidDel="00000000" w:rsidP="00000000" w:rsidRDefault="00000000" w:rsidRPr="00000000" w14:paraId="00000105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7.7. A pontuação máxima permitida no Critério II - Diversidade da Equipe Básica será de até 02 (dois) pontos.</w:t>
      </w:r>
    </w:p>
    <w:p w:rsidR="00000000" w:rsidDel="00000000" w:rsidP="00000000" w:rsidRDefault="00000000" w:rsidRPr="00000000" w14:paraId="00000107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ffffff" w:val="clear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7.8. O critério I e II poderão ser cumulativos, totalizando 03 (três) pontos, desde que o projeto inscrito tenha um proponente e uma equipe básica que se enquadre nas conjunturas apresentadas no quadro acima. </w:t>
      </w:r>
    </w:p>
    <w:p w:rsidR="00000000" w:rsidDel="00000000" w:rsidP="00000000" w:rsidRDefault="00000000" w:rsidRPr="00000000" w14:paraId="00000109">
      <w:pPr>
        <w:spacing w:before="4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884"/>
        </w:tabs>
        <w:spacing w:line="276" w:lineRule="auto"/>
        <w:ind w:right="519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7.9. No que diz respeito ao cumprimento das políticas afirmativas, cada projeto só poderá pontuar uma única vez, independente da efetivação de mais de uma ação.</w:t>
      </w:r>
    </w:p>
    <w:p w:rsidR="00000000" w:rsidDel="00000000" w:rsidP="00000000" w:rsidRDefault="00000000" w:rsidRPr="00000000" w14:paraId="0000010B">
      <w:pPr>
        <w:tabs>
          <w:tab w:val="left" w:leader="none" w:pos="884"/>
        </w:tabs>
        <w:spacing w:line="276" w:lineRule="auto"/>
        <w:ind w:right="519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896"/>
        </w:tabs>
        <w:spacing w:line="276" w:lineRule="auto"/>
        <w:ind w:right="51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7.10. Serão desclassificados os projetos que não obtiverem a pontuação equivalente a 50% (cinquenta por cento) do total de pontuação da soma dos critérios e os pontos de bonificação (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se houver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before="4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834"/>
        </w:tabs>
        <w:spacing w:line="276" w:lineRule="auto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7.11. Os projetos serão classificados por ordem decrescente de pontuação, conforme a categoria para a qual solicitaram inscrição. Havendo empate de pontuação entre os projetos classificados, a Comissão de Avaliação e Seleção promoverá o desempate com prioridade para o projeto que obtiver maior pontuação no subitem “a”. Caso persista o empate, será considerada a maior pontuação dos subitens “b”, “c”e “d”.</w:t>
      </w:r>
    </w:p>
    <w:p w:rsidR="00000000" w:rsidDel="00000000" w:rsidP="00000000" w:rsidRDefault="00000000" w:rsidRPr="00000000" w14:paraId="0000010F">
      <w:pPr>
        <w:tabs>
          <w:tab w:val="left" w:leader="none" w:pos="834"/>
        </w:tabs>
        <w:spacing w:line="276" w:lineRule="auto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1234"/>
        </w:tabs>
        <w:spacing w:line="276" w:lineRule="auto"/>
        <w:ind w:right="508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7.12. Se ainda persistir o empate, será considerado o projeto do(a/e) Agente Cultural com idade superior.</w:t>
      </w:r>
    </w:p>
    <w:p w:rsidR="00000000" w:rsidDel="00000000" w:rsidP="00000000" w:rsidRDefault="00000000" w:rsidRPr="00000000" w14:paraId="00000111">
      <w:pPr>
        <w:spacing w:before="4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8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 DISTRIBUIÇÃO DE VAGAS POR COTAS</w:t>
      </w:r>
    </w:p>
    <w:p w:rsidR="00000000" w:rsidDel="00000000" w:rsidP="00000000" w:rsidRDefault="00000000" w:rsidRPr="00000000" w14:paraId="00000113">
      <w:pPr>
        <w:spacing w:line="276" w:lineRule="auto"/>
        <w:ind w:left="30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8.1. Para a aplicação de cotas: ficam garantidas as cotas, sendo 25% (vinte e cinco por cento) para pessoas negras (pretas ou pardas), 10% (dez por cento) para pessoas com deficiência, 10%  (dez por cento) para pessoas indígenas e 5% (cinco por cento) para quilombolas. As divisões de cotas na categoria de pessoa física seguirá a tabela abaixo: </w:t>
      </w:r>
    </w:p>
    <w:p w:rsidR="00000000" w:rsidDel="00000000" w:rsidP="00000000" w:rsidRDefault="00000000" w:rsidRPr="00000000" w14:paraId="00000115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left"/>
        <w:tblInd w:w="-54.80314960629911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245"/>
        <w:gridCol w:w="1545"/>
        <w:gridCol w:w="1230"/>
        <w:gridCol w:w="1320"/>
        <w:gridCol w:w="1380"/>
        <w:gridCol w:w="1680"/>
        <w:tblGridChange w:id="0">
          <w:tblGrid>
            <w:gridCol w:w="1545"/>
            <w:gridCol w:w="1245"/>
            <w:gridCol w:w="1545"/>
            <w:gridCol w:w="1230"/>
            <w:gridCol w:w="1320"/>
            <w:gridCol w:w="1380"/>
            <w:gridCol w:w="1680"/>
          </w:tblGrid>
        </w:tblGridChange>
      </w:tblGrid>
      <w:tr>
        <w:trPr>
          <w:cantSplit w:val="0"/>
          <w:trHeight w:val="1446.32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de projetos apoiados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Ampla Concorrência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Cotas Raciais (Negros)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Cotas para Pessoas com Deficiência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Cotas Étnicas (Indígenas)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Cotas 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ind w:right="5.669291338583093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Étnicas (Quilombolas)</w:t>
            </w:r>
          </w:p>
        </w:tc>
      </w:tr>
      <w:tr>
        <w:trPr>
          <w:cantSplit w:val="0"/>
          <w:trHeight w:val="561.82677165354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1"/>
              <w:keepLines w:val="1"/>
              <w:shd w:fill="ffffff" w:val="clear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bookmarkStart w:colFirst="0" w:colLast="0" w:name="_cezgwxix25to" w:id="0"/>
            <w:bookmarkEnd w:id="0"/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Categoria II - Bibliotecas Comunitárias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spacing w:line="276" w:lineRule="auto"/>
              <w:ind w:left="141.7322834645671" w:firstLine="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25">
      <w:pPr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9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 RECURSOS ORÇAMENTÁRIOS E APOIO FINANCEIRO</w:t>
      </w:r>
    </w:p>
    <w:p w:rsidR="00000000" w:rsidDel="00000000" w:rsidP="00000000" w:rsidRDefault="00000000" w:rsidRPr="00000000" w14:paraId="00000128">
      <w:pPr>
        <w:spacing w:before="82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ind w:left="0" w:right="49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9.1.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Os recursos destinados à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Bibliotecas Comunitárias do Ceará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são oriundos da Lei Federal Nº 14.399/2022 que institui a Política Nacional Aldir Blanc de Fomento à Cultura, regulamentada pelo Decreto Federal nº 11.740/2023, bem como pelo Decreto Federal no 11.453, de 23 de março de 2023, que disponibilizará o aporte financeiro no valor total de R$ 1.000.000,00 (um milhão de reais), para o pagamento dos projetos selecionados.</w:t>
      </w:r>
    </w:p>
    <w:sectPr>
      <w:headerReference r:id="rId7" w:type="default"/>
      <w:pgSz w:h="16840" w:w="11910" w:orient="portrait"/>
      <w:pgMar w:bottom="280" w:top="1980" w:left="1140" w:right="940" w:header="71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239200" cy="876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92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0" w:hanging="388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388"/>
      </w:pPr>
      <w:rPr/>
    </w:lvl>
    <w:lvl w:ilvl="2">
      <w:start w:val="0"/>
      <w:numFmt w:val="bullet"/>
      <w:lvlText w:val="•"/>
      <w:lvlJc w:val="left"/>
      <w:pPr>
        <w:ind w:left="1760" w:hanging="388"/>
      </w:pPr>
      <w:rPr/>
    </w:lvl>
    <w:lvl w:ilvl="3">
      <w:start w:val="0"/>
      <w:numFmt w:val="bullet"/>
      <w:lvlText w:val="•"/>
      <w:lvlJc w:val="left"/>
      <w:pPr>
        <w:ind w:left="2220" w:hanging="388"/>
      </w:pPr>
      <w:rPr/>
    </w:lvl>
    <w:lvl w:ilvl="4">
      <w:start w:val="0"/>
      <w:numFmt w:val="bullet"/>
      <w:lvlText w:val="•"/>
      <w:lvlJc w:val="left"/>
      <w:pPr>
        <w:ind w:left="2680" w:hanging="388"/>
      </w:pPr>
      <w:rPr/>
    </w:lvl>
    <w:lvl w:ilvl="5">
      <w:start w:val="0"/>
      <w:numFmt w:val="bullet"/>
      <w:lvlText w:val="•"/>
      <w:lvlJc w:val="left"/>
      <w:pPr>
        <w:ind w:left="3140" w:hanging="388"/>
      </w:pPr>
      <w:rPr/>
    </w:lvl>
    <w:lvl w:ilvl="6">
      <w:start w:val="0"/>
      <w:numFmt w:val="bullet"/>
      <w:lvlText w:val="•"/>
      <w:lvlJc w:val="left"/>
      <w:pPr>
        <w:ind w:left="3600" w:hanging="388"/>
      </w:pPr>
      <w:rPr/>
    </w:lvl>
    <w:lvl w:ilvl="7">
      <w:start w:val="0"/>
      <w:numFmt w:val="bullet"/>
      <w:lvlText w:val="•"/>
      <w:lvlJc w:val="left"/>
      <w:pPr>
        <w:ind w:left="4060" w:hanging="388"/>
      </w:pPr>
      <w:rPr/>
    </w:lvl>
    <w:lvl w:ilvl="8">
      <w:start w:val="0"/>
      <w:numFmt w:val="bullet"/>
      <w:lvlText w:val="•"/>
      <w:lvlJc w:val="left"/>
      <w:pPr>
        <w:ind w:left="4520" w:hanging="388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30" w:hanging="24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240"/>
      </w:pPr>
      <w:rPr/>
    </w:lvl>
    <w:lvl w:ilvl="2">
      <w:start w:val="0"/>
      <w:numFmt w:val="bullet"/>
      <w:lvlText w:val="•"/>
      <w:lvlJc w:val="left"/>
      <w:pPr>
        <w:ind w:left="1760" w:hanging="240"/>
      </w:pPr>
      <w:rPr/>
    </w:lvl>
    <w:lvl w:ilvl="3">
      <w:start w:val="0"/>
      <w:numFmt w:val="bullet"/>
      <w:lvlText w:val="•"/>
      <w:lvlJc w:val="left"/>
      <w:pPr>
        <w:ind w:left="2220" w:hanging="240"/>
      </w:pPr>
      <w:rPr/>
    </w:lvl>
    <w:lvl w:ilvl="4">
      <w:start w:val="0"/>
      <w:numFmt w:val="bullet"/>
      <w:lvlText w:val="•"/>
      <w:lvlJc w:val="left"/>
      <w:pPr>
        <w:ind w:left="2680" w:hanging="240"/>
      </w:pPr>
      <w:rPr/>
    </w:lvl>
    <w:lvl w:ilvl="5">
      <w:start w:val="0"/>
      <w:numFmt w:val="bullet"/>
      <w:lvlText w:val="•"/>
      <w:lvlJc w:val="left"/>
      <w:pPr>
        <w:ind w:left="3140" w:hanging="240"/>
      </w:pPr>
      <w:rPr/>
    </w:lvl>
    <w:lvl w:ilvl="6">
      <w:start w:val="0"/>
      <w:numFmt w:val="bullet"/>
      <w:lvlText w:val="•"/>
      <w:lvlJc w:val="left"/>
      <w:pPr>
        <w:ind w:left="3600" w:hanging="240"/>
      </w:pPr>
      <w:rPr/>
    </w:lvl>
    <w:lvl w:ilvl="7">
      <w:start w:val="0"/>
      <w:numFmt w:val="bullet"/>
      <w:lvlText w:val="•"/>
      <w:lvlJc w:val="left"/>
      <w:pPr>
        <w:ind w:left="4060" w:hanging="240"/>
      </w:pPr>
      <w:rPr/>
    </w:lvl>
    <w:lvl w:ilvl="8">
      <w:start w:val="0"/>
      <w:numFmt w:val="bullet"/>
      <w:lvlText w:val="•"/>
      <w:lvlJc w:val="left"/>
      <w:pPr>
        <w:ind w:left="4520" w:hanging="24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30" w:hanging="262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262"/>
      </w:pPr>
      <w:rPr/>
    </w:lvl>
    <w:lvl w:ilvl="2">
      <w:start w:val="0"/>
      <w:numFmt w:val="bullet"/>
      <w:lvlText w:val="•"/>
      <w:lvlJc w:val="left"/>
      <w:pPr>
        <w:ind w:left="1760" w:hanging="262"/>
      </w:pPr>
      <w:rPr/>
    </w:lvl>
    <w:lvl w:ilvl="3">
      <w:start w:val="0"/>
      <w:numFmt w:val="bullet"/>
      <w:lvlText w:val="•"/>
      <w:lvlJc w:val="left"/>
      <w:pPr>
        <w:ind w:left="2220" w:hanging="262"/>
      </w:pPr>
      <w:rPr/>
    </w:lvl>
    <w:lvl w:ilvl="4">
      <w:start w:val="0"/>
      <w:numFmt w:val="bullet"/>
      <w:lvlText w:val="•"/>
      <w:lvlJc w:val="left"/>
      <w:pPr>
        <w:ind w:left="2680" w:hanging="262"/>
      </w:pPr>
      <w:rPr/>
    </w:lvl>
    <w:lvl w:ilvl="5">
      <w:start w:val="0"/>
      <w:numFmt w:val="bullet"/>
      <w:lvlText w:val="•"/>
      <w:lvlJc w:val="left"/>
      <w:pPr>
        <w:ind w:left="3140" w:hanging="262"/>
      </w:pPr>
      <w:rPr/>
    </w:lvl>
    <w:lvl w:ilvl="6">
      <w:start w:val="0"/>
      <w:numFmt w:val="bullet"/>
      <w:lvlText w:val="•"/>
      <w:lvlJc w:val="left"/>
      <w:pPr>
        <w:ind w:left="3600" w:hanging="262"/>
      </w:pPr>
      <w:rPr/>
    </w:lvl>
    <w:lvl w:ilvl="7">
      <w:start w:val="0"/>
      <w:numFmt w:val="bullet"/>
      <w:lvlText w:val="•"/>
      <w:lvlJc w:val="left"/>
      <w:pPr>
        <w:ind w:left="4060" w:hanging="262"/>
      </w:pPr>
      <w:rPr/>
    </w:lvl>
    <w:lvl w:ilvl="8">
      <w:start w:val="0"/>
      <w:numFmt w:val="bullet"/>
      <w:lvlText w:val="•"/>
      <w:lvlJc w:val="left"/>
      <w:pPr>
        <w:ind w:left="4520" w:hanging="262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451" w:hanging="231.99999999999994"/>
      </w:pPr>
      <w:rPr>
        <w:rFonts w:ascii="Arial" w:cs="Arial" w:eastAsia="Arial" w:hAnsi="Arial"/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830" w:hanging="208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51" w:hanging="208"/>
      </w:pPr>
      <w:rPr/>
    </w:lvl>
    <w:lvl w:ilvl="3">
      <w:start w:val="0"/>
      <w:numFmt w:val="bullet"/>
      <w:lvlText w:val="•"/>
      <w:lvlJc w:val="left"/>
      <w:pPr>
        <w:ind w:left="1862" w:hanging="208.00000000000023"/>
      </w:pPr>
      <w:rPr/>
    </w:lvl>
    <w:lvl w:ilvl="4">
      <w:start w:val="0"/>
      <w:numFmt w:val="bullet"/>
      <w:lvlText w:val="•"/>
      <w:lvlJc w:val="left"/>
      <w:pPr>
        <w:ind w:left="2373" w:hanging="208"/>
      </w:pPr>
      <w:rPr/>
    </w:lvl>
    <w:lvl w:ilvl="5">
      <w:start w:val="0"/>
      <w:numFmt w:val="bullet"/>
      <w:lvlText w:val="•"/>
      <w:lvlJc w:val="left"/>
      <w:pPr>
        <w:ind w:left="2884" w:hanging="208.0000000000009"/>
      </w:pPr>
      <w:rPr/>
    </w:lvl>
    <w:lvl w:ilvl="6">
      <w:start w:val="0"/>
      <w:numFmt w:val="bullet"/>
      <w:lvlText w:val="•"/>
      <w:lvlJc w:val="left"/>
      <w:pPr>
        <w:ind w:left="3395" w:hanging="208"/>
      </w:pPr>
      <w:rPr/>
    </w:lvl>
    <w:lvl w:ilvl="7">
      <w:start w:val="0"/>
      <w:numFmt w:val="bullet"/>
      <w:lvlText w:val="•"/>
      <w:lvlJc w:val="left"/>
      <w:pPr>
        <w:ind w:left="3906" w:hanging="208"/>
      </w:pPr>
      <w:rPr/>
    </w:lvl>
    <w:lvl w:ilvl="8">
      <w:start w:val="0"/>
      <w:numFmt w:val="bullet"/>
      <w:lvlText w:val="•"/>
      <w:lvlJc w:val="left"/>
      <w:pPr>
        <w:ind w:left="4417" w:hanging="208"/>
      </w:pPr>
      <w:rPr/>
    </w:lvl>
  </w:abstractNum>
  <w:abstractNum w:abstractNumId="5">
    <w:lvl w:ilvl="0">
      <w:start w:val="3"/>
      <w:numFmt w:val="lowerLetter"/>
      <w:lvlText w:val="%1)"/>
      <w:lvlJc w:val="left"/>
      <w:pPr>
        <w:ind w:left="451" w:hanging="231.99999999999994"/>
      </w:pPr>
      <w:rPr>
        <w:rFonts w:ascii="Arial" w:cs="Arial" w:eastAsia="Arial" w:hAnsi="Arial"/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830" w:hanging="314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51" w:hanging="314"/>
      </w:pPr>
      <w:rPr/>
    </w:lvl>
    <w:lvl w:ilvl="3">
      <w:start w:val="0"/>
      <w:numFmt w:val="bullet"/>
      <w:lvlText w:val="•"/>
      <w:lvlJc w:val="left"/>
      <w:pPr>
        <w:ind w:left="1862" w:hanging="314.00000000000045"/>
      </w:pPr>
      <w:rPr/>
    </w:lvl>
    <w:lvl w:ilvl="4">
      <w:start w:val="0"/>
      <w:numFmt w:val="bullet"/>
      <w:lvlText w:val="•"/>
      <w:lvlJc w:val="left"/>
      <w:pPr>
        <w:ind w:left="2373" w:hanging="314"/>
      </w:pPr>
      <w:rPr/>
    </w:lvl>
    <w:lvl w:ilvl="5">
      <w:start w:val="0"/>
      <w:numFmt w:val="bullet"/>
      <w:lvlText w:val="•"/>
      <w:lvlJc w:val="left"/>
      <w:pPr>
        <w:ind w:left="2884" w:hanging="314"/>
      </w:pPr>
      <w:rPr/>
    </w:lvl>
    <w:lvl w:ilvl="6">
      <w:start w:val="0"/>
      <w:numFmt w:val="bullet"/>
      <w:lvlText w:val="•"/>
      <w:lvlJc w:val="left"/>
      <w:pPr>
        <w:ind w:left="3395" w:hanging="314"/>
      </w:pPr>
      <w:rPr/>
    </w:lvl>
    <w:lvl w:ilvl="7">
      <w:start w:val="0"/>
      <w:numFmt w:val="bullet"/>
      <w:lvlText w:val="•"/>
      <w:lvlJc w:val="left"/>
      <w:pPr>
        <w:ind w:left="3906" w:hanging="313.99999999999955"/>
      </w:pPr>
      <w:rPr/>
    </w:lvl>
    <w:lvl w:ilvl="8">
      <w:start w:val="0"/>
      <w:numFmt w:val="bullet"/>
      <w:lvlText w:val="•"/>
      <w:lvlJc w:val="left"/>
      <w:pPr>
        <w:ind w:left="4417" w:hanging="314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452" w:hanging="231.99999999999994"/>
      </w:pPr>
      <w:rPr>
        <w:rFonts w:ascii="Arial" w:cs="Arial" w:eastAsia="Arial" w:hAnsi="Arial"/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830" w:hanging="248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51" w:hanging="248"/>
      </w:pPr>
      <w:rPr/>
    </w:lvl>
    <w:lvl w:ilvl="3">
      <w:start w:val="0"/>
      <w:numFmt w:val="bullet"/>
      <w:lvlText w:val="•"/>
      <w:lvlJc w:val="left"/>
      <w:pPr>
        <w:ind w:left="1862" w:hanging="248.00000000000023"/>
      </w:pPr>
      <w:rPr/>
    </w:lvl>
    <w:lvl w:ilvl="4">
      <w:start w:val="0"/>
      <w:numFmt w:val="bullet"/>
      <w:lvlText w:val="•"/>
      <w:lvlJc w:val="left"/>
      <w:pPr>
        <w:ind w:left="2373" w:hanging="248"/>
      </w:pPr>
      <w:rPr/>
    </w:lvl>
    <w:lvl w:ilvl="5">
      <w:start w:val="0"/>
      <w:numFmt w:val="bullet"/>
      <w:lvlText w:val="•"/>
      <w:lvlJc w:val="left"/>
      <w:pPr>
        <w:ind w:left="2884" w:hanging="248.0000000000009"/>
      </w:pPr>
      <w:rPr/>
    </w:lvl>
    <w:lvl w:ilvl="6">
      <w:start w:val="0"/>
      <w:numFmt w:val="bullet"/>
      <w:lvlText w:val="•"/>
      <w:lvlJc w:val="left"/>
      <w:pPr>
        <w:ind w:left="3395" w:hanging="248"/>
      </w:pPr>
      <w:rPr/>
    </w:lvl>
    <w:lvl w:ilvl="7">
      <w:start w:val="0"/>
      <w:numFmt w:val="bullet"/>
      <w:lvlText w:val="•"/>
      <w:lvlJc w:val="left"/>
      <w:pPr>
        <w:ind w:left="3906" w:hanging="248"/>
      </w:pPr>
      <w:rPr/>
    </w:lvl>
    <w:lvl w:ilvl="8">
      <w:start w:val="0"/>
      <w:numFmt w:val="bullet"/>
      <w:lvlText w:val="•"/>
      <w:lvlJc w:val="left"/>
      <w:pPr>
        <w:ind w:left="4417" w:hanging="248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830" w:hanging="274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274"/>
      </w:pPr>
      <w:rPr/>
    </w:lvl>
    <w:lvl w:ilvl="2">
      <w:start w:val="0"/>
      <w:numFmt w:val="bullet"/>
      <w:lvlText w:val="•"/>
      <w:lvlJc w:val="left"/>
      <w:pPr>
        <w:ind w:left="1760" w:hanging="274"/>
      </w:pPr>
      <w:rPr/>
    </w:lvl>
    <w:lvl w:ilvl="3">
      <w:start w:val="0"/>
      <w:numFmt w:val="bullet"/>
      <w:lvlText w:val="•"/>
      <w:lvlJc w:val="left"/>
      <w:pPr>
        <w:ind w:left="2220" w:hanging="274"/>
      </w:pPr>
      <w:rPr/>
    </w:lvl>
    <w:lvl w:ilvl="4">
      <w:start w:val="0"/>
      <w:numFmt w:val="bullet"/>
      <w:lvlText w:val="•"/>
      <w:lvlJc w:val="left"/>
      <w:pPr>
        <w:ind w:left="2680" w:hanging="274"/>
      </w:pPr>
      <w:rPr/>
    </w:lvl>
    <w:lvl w:ilvl="5">
      <w:start w:val="0"/>
      <w:numFmt w:val="bullet"/>
      <w:lvlText w:val="•"/>
      <w:lvlJc w:val="left"/>
      <w:pPr>
        <w:ind w:left="3140" w:hanging="274"/>
      </w:pPr>
      <w:rPr/>
    </w:lvl>
    <w:lvl w:ilvl="6">
      <w:start w:val="0"/>
      <w:numFmt w:val="bullet"/>
      <w:lvlText w:val="•"/>
      <w:lvlJc w:val="left"/>
      <w:pPr>
        <w:ind w:left="3600" w:hanging="274"/>
      </w:pPr>
      <w:rPr/>
    </w:lvl>
    <w:lvl w:ilvl="7">
      <w:start w:val="0"/>
      <w:numFmt w:val="bullet"/>
      <w:lvlText w:val="•"/>
      <w:lvlJc w:val="left"/>
      <w:pPr>
        <w:ind w:left="4060" w:hanging="274"/>
      </w:pPr>
      <w:rPr/>
    </w:lvl>
    <w:lvl w:ilvl="8">
      <w:start w:val="0"/>
      <w:numFmt w:val="bullet"/>
      <w:lvlText w:val="•"/>
      <w:lvlJc w:val="left"/>
      <w:pPr>
        <w:ind w:left="4520" w:hanging="274"/>
      </w:pPr>
      <w:rPr/>
    </w:lvl>
  </w:abstractNum>
  <w:abstractNum w:abstractNumId="8">
    <w:lvl w:ilvl="0">
      <w:start w:val="4"/>
      <w:numFmt w:val="lowerLetter"/>
      <w:lvlText w:val="%1)"/>
      <w:lvlJc w:val="left"/>
      <w:pPr>
        <w:ind w:left="519" w:hanging="300"/>
      </w:pPr>
      <w:rPr>
        <w:rFonts w:ascii="Arial" w:cs="Arial" w:eastAsia="Arial" w:hAnsi="Arial"/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830" w:hanging="222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51" w:hanging="222"/>
      </w:pPr>
      <w:rPr/>
    </w:lvl>
    <w:lvl w:ilvl="3">
      <w:start w:val="0"/>
      <w:numFmt w:val="bullet"/>
      <w:lvlText w:val="•"/>
      <w:lvlJc w:val="left"/>
      <w:pPr>
        <w:ind w:left="1862" w:hanging="222"/>
      </w:pPr>
      <w:rPr/>
    </w:lvl>
    <w:lvl w:ilvl="4">
      <w:start w:val="0"/>
      <w:numFmt w:val="bullet"/>
      <w:lvlText w:val="•"/>
      <w:lvlJc w:val="left"/>
      <w:pPr>
        <w:ind w:left="2373" w:hanging="222"/>
      </w:pPr>
      <w:rPr/>
    </w:lvl>
    <w:lvl w:ilvl="5">
      <w:start w:val="0"/>
      <w:numFmt w:val="bullet"/>
      <w:lvlText w:val="•"/>
      <w:lvlJc w:val="left"/>
      <w:pPr>
        <w:ind w:left="2884" w:hanging="222"/>
      </w:pPr>
      <w:rPr/>
    </w:lvl>
    <w:lvl w:ilvl="6">
      <w:start w:val="0"/>
      <w:numFmt w:val="bullet"/>
      <w:lvlText w:val="•"/>
      <w:lvlJc w:val="left"/>
      <w:pPr>
        <w:ind w:left="3395" w:hanging="222"/>
      </w:pPr>
      <w:rPr/>
    </w:lvl>
    <w:lvl w:ilvl="7">
      <w:start w:val="0"/>
      <w:numFmt w:val="bullet"/>
      <w:lvlText w:val="•"/>
      <w:lvlJc w:val="left"/>
      <w:pPr>
        <w:ind w:left="3906" w:hanging="221.9999999999991"/>
      </w:pPr>
      <w:rPr/>
    </w:lvl>
    <w:lvl w:ilvl="8">
      <w:start w:val="0"/>
      <w:numFmt w:val="bullet"/>
      <w:lvlText w:val="•"/>
      <w:lvlJc w:val="left"/>
      <w:pPr>
        <w:ind w:left="4417" w:hanging="222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830" w:hanging="178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178"/>
      </w:pPr>
      <w:rPr/>
    </w:lvl>
    <w:lvl w:ilvl="2">
      <w:start w:val="0"/>
      <w:numFmt w:val="bullet"/>
      <w:lvlText w:val="•"/>
      <w:lvlJc w:val="left"/>
      <w:pPr>
        <w:ind w:left="1760" w:hanging="178"/>
      </w:pPr>
      <w:rPr/>
    </w:lvl>
    <w:lvl w:ilvl="3">
      <w:start w:val="0"/>
      <w:numFmt w:val="bullet"/>
      <w:lvlText w:val="•"/>
      <w:lvlJc w:val="left"/>
      <w:pPr>
        <w:ind w:left="2220" w:hanging="178"/>
      </w:pPr>
      <w:rPr/>
    </w:lvl>
    <w:lvl w:ilvl="4">
      <w:start w:val="0"/>
      <w:numFmt w:val="bullet"/>
      <w:lvlText w:val="•"/>
      <w:lvlJc w:val="left"/>
      <w:pPr>
        <w:ind w:left="2680" w:hanging="178"/>
      </w:pPr>
      <w:rPr/>
    </w:lvl>
    <w:lvl w:ilvl="5">
      <w:start w:val="0"/>
      <w:numFmt w:val="bullet"/>
      <w:lvlText w:val="•"/>
      <w:lvlJc w:val="left"/>
      <w:pPr>
        <w:ind w:left="3140" w:hanging="178"/>
      </w:pPr>
      <w:rPr/>
    </w:lvl>
    <w:lvl w:ilvl="6">
      <w:start w:val="0"/>
      <w:numFmt w:val="bullet"/>
      <w:lvlText w:val="•"/>
      <w:lvlJc w:val="left"/>
      <w:pPr>
        <w:ind w:left="3600" w:hanging="178"/>
      </w:pPr>
      <w:rPr/>
    </w:lvl>
    <w:lvl w:ilvl="7">
      <w:start w:val="0"/>
      <w:numFmt w:val="bullet"/>
      <w:lvlText w:val="•"/>
      <w:lvlJc w:val="left"/>
      <w:pPr>
        <w:ind w:left="4060" w:hanging="178"/>
      </w:pPr>
      <w:rPr/>
    </w:lvl>
    <w:lvl w:ilvl="8">
      <w:start w:val="0"/>
      <w:numFmt w:val="bullet"/>
      <w:lvlText w:val="•"/>
      <w:lvlJc w:val="left"/>
      <w:pPr>
        <w:ind w:left="4520" w:hanging="178"/>
      </w:pPr>
      <w:rPr/>
    </w:lvl>
  </w:abstractNum>
  <w:abstractNum w:abstractNumId="10">
    <w:lvl w:ilvl="0">
      <w:start w:val="0"/>
      <w:numFmt w:val="bullet"/>
      <w:lvlText w:val="●"/>
      <w:lvlJc w:val="left"/>
      <w:pPr>
        <w:ind w:left="830" w:hanging="294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294"/>
      </w:pPr>
      <w:rPr/>
    </w:lvl>
    <w:lvl w:ilvl="2">
      <w:start w:val="0"/>
      <w:numFmt w:val="bullet"/>
      <w:lvlText w:val="•"/>
      <w:lvlJc w:val="left"/>
      <w:pPr>
        <w:ind w:left="1760" w:hanging="294"/>
      </w:pPr>
      <w:rPr/>
    </w:lvl>
    <w:lvl w:ilvl="3">
      <w:start w:val="0"/>
      <w:numFmt w:val="bullet"/>
      <w:lvlText w:val="•"/>
      <w:lvlJc w:val="left"/>
      <w:pPr>
        <w:ind w:left="2220" w:hanging="294"/>
      </w:pPr>
      <w:rPr/>
    </w:lvl>
    <w:lvl w:ilvl="4">
      <w:start w:val="0"/>
      <w:numFmt w:val="bullet"/>
      <w:lvlText w:val="•"/>
      <w:lvlJc w:val="left"/>
      <w:pPr>
        <w:ind w:left="2680" w:hanging="294"/>
      </w:pPr>
      <w:rPr/>
    </w:lvl>
    <w:lvl w:ilvl="5">
      <w:start w:val="0"/>
      <w:numFmt w:val="bullet"/>
      <w:lvlText w:val="•"/>
      <w:lvlJc w:val="left"/>
      <w:pPr>
        <w:ind w:left="3140" w:hanging="294"/>
      </w:pPr>
      <w:rPr/>
    </w:lvl>
    <w:lvl w:ilvl="6">
      <w:start w:val="0"/>
      <w:numFmt w:val="bullet"/>
      <w:lvlText w:val="•"/>
      <w:lvlJc w:val="left"/>
      <w:pPr>
        <w:ind w:left="3600" w:hanging="294"/>
      </w:pPr>
      <w:rPr/>
    </w:lvl>
    <w:lvl w:ilvl="7">
      <w:start w:val="0"/>
      <w:numFmt w:val="bullet"/>
      <w:lvlText w:val="•"/>
      <w:lvlJc w:val="left"/>
      <w:pPr>
        <w:ind w:left="4060" w:hanging="294"/>
      </w:pPr>
      <w:rPr/>
    </w:lvl>
    <w:lvl w:ilvl="8">
      <w:start w:val="0"/>
      <w:numFmt w:val="bullet"/>
      <w:lvlText w:val="•"/>
      <w:lvlJc w:val="left"/>
      <w:pPr>
        <w:ind w:left="4520" w:hanging="294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0"/>
      <w:numFmt w:val="bullet"/>
      <w:lvlText w:val="●"/>
      <w:lvlJc w:val="left"/>
      <w:pPr>
        <w:ind w:left="830" w:hanging="178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178"/>
      </w:pPr>
      <w:rPr/>
    </w:lvl>
    <w:lvl w:ilvl="2">
      <w:start w:val="0"/>
      <w:numFmt w:val="bullet"/>
      <w:lvlText w:val="•"/>
      <w:lvlJc w:val="left"/>
      <w:pPr>
        <w:ind w:left="1760" w:hanging="178"/>
      </w:pPr>
      <w:rPr/>
    </w:lvl>
    <w:lvl w:ilvl="3">
      <w:start w:val="0"/>
      <w:numFmt w:val="bullet"/>
      <w:lvlText w:val="•"/>
      <w:lvlJc w:val="left"/>
      <w:pPr>
        <w:ind w:left="2220" w:hanging="178"/>
      </w:pPr>
      <w:rPr/>
    </w:lvl>
    <w:lvl w:ilvl="4">
      <w:start w:val="0"/>
      <w:numFmt w:val="bullet"/>
      <w:lvlText w:val="•"/>
      <w:lvlJc w:val="left"/>
      <w:pPr>
        <w:ind w:left="2680" w:hanging="178"/>
      </w:pPr>
      <w:rPr/>
    </w:lvl>
    <w:lvl w:ilvl="5">
      <w:start w:val="0"/>
      <w:numFmt w:val="bullet"/>
      <w:lvlText w:val="•"/>
      <w:lvlJc w:val="left"/>
      <w:pPr>
        <w:ind w:left="3140" w:hanging="178"/>
      </w:pPr>
      <w:rPr/>
    </w:lvl>
    <w:lvl w:ilvl="6">
      <w:start w:val="0"/>
      <w:numFmt w:val="bullet"/>
      <w:lvlText w:val="•"/>
      <w:lvlJc w:val="left"/>
      <w:pPr>
        <w:ind w:left="3600" w:hanging="178"/>
      </w:pPr>
      <w:rPr/>
    </w:lvl>
    <w:lvl w:ilvl="7">
      <w:start w:val="0"/>
      <w:numFmt w:val="bullet"/>
      <w:lvlText w:val="•"/>
      <w:lvlJc w:val="left"/>
      <w:pPr>
        <w:ind w:left="4060" w:hanging="178"/>
      </w:pPr>
      <w:rPr/>
    </w:lvl>
    <w:lvl w:ilvl="8">
      <w:start w:val="0"/>
      <w:numFmt w:val="bullet"/>
      <w:lvlText w:val="•"/>
      <w:lvlJc w:val="left"/>
      <w:pPr>
        <w:ind w:left="4520" w:hanging="178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681" w:hanging="280.00000000000006"/>
      </w:pPr>
      <w:rPr>
        <w:u w:val="none"/>
      </w:rPr>
    </w:lvl>
    <w:lvl w:ilvl="1">
      <w:start w:val="0"/>
      <w:numFmt w:val="bullet"/>
      <w:lvlText w:val="•"/>
      <w:lvlJc w:val="left"/>
      <w:pPr>
        <w:ind w:left="1594" w:hanging="280"/>
      </w:pPr>
      <w:rPr>
        <w:u w:val="none"/>
      </w:rPr>
    </w:lvl>
    <w:lvl w:ilvl="2">
      <w:start w:val="0"/>
      <w:numFmt w:val="bullet"/>
      <w:lvlText w:val="•"/>
      <w:lvlJc w:val="left"/>
      <w:pPr>
        <w:ind w:left="2509" w:hanging="280"/>
      </w:pPr>
      <w:rPr>
        <w:u w:val="none"/>
      </w:rPr>
    </w:lvl>
    <w:lvl w:ilvl="3">
      <w:start w:val="0"/>
      <w:numFmt w:val="bullet"/>
      <w:lvlText w:val="•"/>
      <w:lvlJc w:val="left"/>
      <w:pPr>
        <w:ind w:left="3423" w:hanging="280"/>
      </w:pPr>
      <w:rPr>
        <w:u w:val="none"/>
      </w:rPr>
    </w:lvl>
    <w:lvl w:ilvl="4">
      <w:start w:val="0"/>
      <w:numFmt w:val="bullet"/>
      <w:lvlText w:val="•"/>
      <w:lvlJc w:val="left"/>
      <w:pPr>
        <w:ind w:left="4338" w:hanging="280"/>
      </w:pPr>
      <w:rPr>
        <w:u w:val="none"/>
      </w:rPr>
    </w:lvl>
    <w:lvl w:ilvl="5">
      <w:start w:val="0"/>
      <w:numFmt w:val="bullet"/>
      <w:lvlText w:val="•"/>
      <w:lvlJc w:val="left"/>
      <w:pPr>
        <w:ind w:left="5253" w:hanging="280"/>
      </w:pPr>
      <w:rPr>
        <w:u w:val="none"/>
      </w:rPr>
    </w:lvl>
    <w:lvl w:ilvl="6">
      <w:start w:val="0"/>
      <w:numFmt w:val="bullet"/>
      <w:lvlText w:val="•"/>
      <w:lvlJc w:val="left"/>
      <w:pPr>
        <w:ind w:left="6167" w:hanging="280"/>
      </w:pPr>
      <w:rPr>
        <w:u w:val="none"/>
      </w:rPr>
    </w:lvl>
    <w:lvl w:ilvl="7">
      <w:start w:val="0"/>
      <w:numFmt w:val="bullet"/>
      <w:lvlText w:val="•"/>
      <w:lvlJc w:val="left"/>
      <w:pPr>
        <w:ind w:left="7082" w:hanging="280"/>
      </w:pPr>
      <w:rPr>
        <w:u w:val="none"/>
      </w:rPr>
    </w:lvl>
    <w:lvl w:ilvl="8">
      <w:start w:val="0"/>
      <w:numFmt w:val="bullet"/>
      <w:lvlText w:val="•"/>
      <w:lvlJc w:val="left"/>
      <w:pPr>
        <w:ind w:left="7996" w:hanging="2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66" w:hanging="665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65" w:hanging="864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RCeDN-3lxlVH0rBGfcMqfJ0WRcimsOEDIiuNeFgzLYOL_gA/viewfor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2023-10-27T00:00:00Z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lpwstr>2023-10-27T00:00:00Z</vt:lpwstr>
  </property>
</Properties>
</file>